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202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年跨校“专升本”获奖加分表</w:t>
      </w:r>
    </w:p>
    <w:p>
      <w:pPr>
        <w:ind w:firstLine="904" w:firstLineChars="3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姓名：           专业：              班级：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加分总分最高不超过8分。加分包括以下内容：</w:t>
      </w:r>
    </w:p>
    <w:p>
      <w:pPr>
        <w:adjustRightInd w:val="0"/>
        <w:snapToGrid w:val="0"/>
        <w:spacing w:line="520" w:lineRule="exact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1、</w:t>
      </w:r>
      <w:r>
        <w:rPr>
          <w:rFonts w:hAnsi="仿宋" w:eastAsia="仿宋"/>
          <w:sz w:val="28"/>
          <w:szCs w:val="28"/>
        </w:rPr>
        <w:t>学科竞赛</w:t>
      </w:r>
      <w:r>
        <w:rPr>
          <w:rFonts w:hint="eastAsia" w:hAnsi="仿宋" w:eastAsia="仿宋"/>
          <w:sz w:val="28"/>
          <w:szCs w:val="28"/>
        </w:rPr>
        <w:t>（职业技能大赛）</w:t>
      </w:r>
      <w:r>
        <w:rPr>
          <w:rFonts w:hAnsi="仿宋" w:eastAsia="仿宋"/>
          <w:sz w:val="28"/>
          <w:szCs w:val="28"/>
        </w:rPr>
        <w:t>获奖</w:t>
      </w:r>
      <w:r>
        <w:rPr>
          <w:rFonts w:hint="eastAsia" w:hAnsi="仿宋" w:eastAsia="仿宋"/>
          <w:sz w:val="28"/>
          <w:szCs w:val="28"/>
        </w:rPr>
        <w:t>及</w:t>
      </w:r>
      <w:r>
        <w:rPr>
          <w:rFonts w:hAnsi="仿宋" w:eastAsia="仿宋"/>
          <w:sz w:val="28"/>
          <w:szCs w:val="28"/>
        </w:rPr>
        <w:t>公共应用能力加分</w:t>
      </w:r>
      <w:r>
        <w:rPr>
          <w:rFonts w:hint="eastAsia" w:hAnsi="仿宋" w:eastAsia="仿宋"/>
          <w:sz w:val="28"/>
          <w:szCs w:val="28"/>
        </w:rPr>
        <w:t xml:space="preserve">   (  )分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2023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608" w:type="dxa"/>
            <w:noWrap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奖励项目</w:t>
            </w:r>
          </w:p>
        </w:tc>
        <w:tc>
          <w:tcPr>
            <w:tcW w:w="2023" w:type="dxa"/>
            <w:noWrap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获奖等级</w:t>
            </w:r>
          </w:p>
        </w:tc>
        <w:tc>
          <w:tcPr>
            <w:tcW w:w="2428" w:type="dxa"/>
            <w:noWrap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8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学科竞赛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职业技能大赛）</w:t>
            </w:r>
          </w:p>
        </w:tc>
        <w:tc>
          <w:tcPr>
            <w:tcW w:w="202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全国一等</w:t>
            </w:r>
          </w:p>
        </w:tc>
        <w:tc>
          <w:tcPr>
            <w:tcW w:w="242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8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全国二等</w:t>
            </w:r>
          </w:p>
        </w:tc>
        <w:tc>
          <w:tcPr>
            <w:tcW w:w="242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8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全国三等</w:t>
            </w:r>
          </w:p>
        </w:tc>
        <w:tc>
          <w:tcPr>
            <w:tcW w:w="242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8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省一等</w:t>
            </w:r>
          </w:p>
        </w:tc>
        <w:tc>
          <w:tcPr>
            <w:tcW w:w="242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8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省二等</w:t>
            </w:r>
          </w:p>
        </w:tc>
        <w:tc>
          <w:tcPr>
            <w:tcW w:w="242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4608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省三等</w:t>
            </w:r>
          </w:p>
        </w:tc>
        <w:tc>
          <w:tcPr>
            <w:tcW w:w="242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CET-4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（英语专业学生CET-6或专业四级）</w:t>
            </w:r>
          </w:p>
        </w:tc>
        <w:tc>
          <w:tcPr>
            <w:tcW w:w="202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242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全国或省计算机二级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（非计算机专业）</w:t>
            </w:r>
          </w:p>
        </w:tc>
        <w:tc>
          <w:tcPr>
            <w:tcW w:w="2023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</w:t>
            </w:r>
          </w:p>
        </w:tc>
        <w:tc>
          <w:tcPr>
            <w:tcW w:w="242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</w:tr>
    </w:tbl>
    <w:p>
      <w:pPr>
        <w:snapToGrid w:val="0"/>
        <w:spacing w:line="520" w:lineRule="exact"/>
        <w:ind w:firstLine="482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注：</w:t>
      </w: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（1）提供相应证书原件审查；</w:t>
      </w: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（2）同时获得上表多种奖励加分条件者，只按最高一类加分，同一种奖励多次获奖者，只计一次，不重复加分计算；</w:t>
      </w: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hAnsi="仿宋" w:eastAsia="仿宋"/>
          <w:sz w:val="24"/>
        </w:rPr>
        <w:t>（3）</w:t>
      </w:r>
      <w:r>
        <w:rPr>
          <w:rFonts w:hAnsi="仿宋" w:eastAsia="仿宋"/>
          <w:sz w:val="24"/>
        </w:rPr>
        <w:t>学科竞赛</w:t>
      </w:r>
      <w:r>
        <w:rPr>
          <w:rFonts w:hint="eastAsia" w:hAnsi="仿宋" w:eastAsia="仿宋"/>
          <w:sz w:val="24"/>
        </w:rPr>
        <w:t>（</w:t>
      </w:r>
      <w:r>
        <w:rPr>
          <w:rFonts w:hint="eastAsia" w:ascii="仿宋" w:hAnsi="仿宋" w:eastAsia="仿宋" w:cs="宋体"/>
          <w:kern w:val="0"/>
          <w:sz w:val="24"/>
        </w:rPr>
        <w:t>职业技能大赛）</w:t>
      </w:r>
      <w:r>
        <w:rPr>
          <w:rFonts w:hint="eastAsia" w:ascii="仿宋" w:hAnsi="仿宋" w:eastAsia="仿宋"/>
          <w:sz w:val="24"/>
        </w:rPr>
        <w:t>加分，学生参加每年由四川省教育厅公布省级大学生竞赛的项目，参加由团中央和团省委举办的“挑战杯”、“创青春”项目，参加由教育部和省教厅举办的“互联网+”比赛项目。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2、</w:t>
      </w:r>
      <w:r>
        <w:rPr>
          <w:rFonts w:hAnsi="仿宋" w:eastAsia="仿宋"/>
          <w:sz w:val="28"/>
          <w:szCs w:val="28"/>
        </w:rPr>
        <w:t>获得</w:t>
      </w:r>
      <w:r>
        <w:rPr>
          <w:rFonts w:hint="eastAsia" w:hAnsi="仿宋" w:eastAsia="仿宋"/>
          <w:sz w:val="28"/>
          <w:szCs w:val="28"/>
        </w:rPr>
        <w:t>授权</w:t>
      </w:r>
      <w:r>
        <w:rPr>
          <w:rFonts w:hAnsi="仿宋" w:eastAsia="仿宋"/>
          <w:sz w:val="28"/>
          <w:szCs w:val="28"/>
        </w:rPr>
        <w:t>专利证书加分</w:t>
      </w:r>
      <w:r>
        <w:rPr>
          <w:rFonts w:hint="eastAsia" w:hAnsi="仿宋" w:eastAsia="仿宋"/>
          <w:sz w:val="28"/>
          <w:szCs w:val="28"/>
        </w:rPr>
        <w:t xml:space="preserve">   （ ）分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15"/>
        <w:gridCol w:w="1627"/>
        <w:gridCol w:w="1062"/>
        <w:gridCol w:w="1237"/>
        <w:gridCol w:w="1734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专利级别</w:t>
            </w:r>
          </w:p>
        </w:tc>
        <w:tc>
          <w:tcPr>
            <w:tcW w:w="4104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国际专利</w:t>
            </w:r>
          </w:p>
        </w:tc>
        <w:tc>
          <w:tcPr>
            <w:tcW w:w="361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国内专利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加分</w:t>
            </w:r>
          </w:p>
        </w:tc>
        <w:tc>
          <w:tcPr>
            <w:tcW w:w="1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发明专利</w:t>
            </w:r>
          </w:p>
        </w:tc>
        <w:tc>
          <w:tcPr>
            <w:tcW w:w="162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10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发明专利</w:t>
            </w:r>
          </w:p>
        </w:tc>
        <w:tc>
          <w:tcPr>
            <w:tcW w:w="17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实用新型</w:t>
            </w:r>
          </w:p>
        </w:tc>
        <w:tc>
          <w:tcPr>
            <w:tcW w:w="162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10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实用新型</w:t>
            </w:r>
          </w:p>
        </w:tc>
        <w:tc>
          <w:tcPr>
            <w:tcW w:w="17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外观设计</w:t>
            </w:r>
          </w:p>
        </w:tc>
        <w:tc>
          <w:tcPr>
            <w:tcW w:w="162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10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外观设计</w:t>
            </w:r>
          </w:p>
        </w:tc>
        <w:tc>
          <w:tcPr>
            <w:tcW w:w="173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第一作者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59" w:type="dxa"/>
            <w:gridSpan w:val="7"/>
            <w:noWrap/>
          </w:tcPr>
          <w:p>
            <w:pPr>
              <w:pStyle w:val="4"/>
              <w:adjustRightInd w:val="0"/>
              <w:snapToGrid w:val="0"/>
              <w:spacing w:before="62" w:beforeLines="20" w:line="240" w:lineRule="auto"/>
              <w:rPr>
                <w:rFonts w:eastAsia="仿宋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备注：（</w:t>
            </w: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hAnsi="仿宋" w:eastAsia="仿宋"/>
                <w:kern w:val="0"/>
                <w:sz w:val="24"/>
              </w:rPr>
              <w:t>）必须提供专利证书原件；（</w:t>
            </w:r>
            <w:r>
              <w:rPr>
                <w:rFonts w:eastAsia="仿宋"/>
                <w:kern w:val="0"/>
                <w:sz w:val="24"/>
              </w:rPr>
              <w:t>2</w:t>
            </w:r>
            <w:r>
              <w:rPr>
                <w:rFonts w:hAnsi="仿宋" w:eastAsia="仿宋"/>
                <w:kern w:val="0"/>
                <w:sz w:val="24"/>
              </w:rPr>
              <w:t>）同一专利项目只能以最高加分项目加分；（</w:t>
            </w:r>
            <w:r>
              <w:rPr>
                <w:rFonts w:eastAsia="仿宋"/>
                <w:kern w:val="0"/>
                <w:sz w:val="24"/>
              </w:rPr>
              <w:t>3</w:t>
            </w:r>
            <w:r>
              <w:rPr>
                <w:rFonts w:hAnsi="仿宋" w:eastAsia="仿宋"/>
                <w:kern w:val="0"/>
                <w:sz w:val="24"/>
              </w:rPr>
              <w:t>）</w:t>
            </w:r>
            <w:r>
              <w:rPr>
                <w:rFonts w:hint="eastAsia" w:hAnsi="仿宋" w:eastAsia="仿宋"/>
                <w:kern w:val="0"/>
                <w:sz w:val="24"/>
              </w:rPr>
              <w:t>学生所在的学院</w:t>
            </w:r>
            <w:r>
              <w:rPr>
                <w:rFonts w:hAnsi="仿宋" w:eastAsia="仿宋"/>
                <w:kern w:val="0"/>
                <w:sz w:val="24"/>
              </w:rPr>
              <w:t>组织答辩认定，并提交认定结果。</w:t>
            </w:r>
          </w:p>
        </w:tc>
      </w:tr>
    </w:tbl>
    <w:p>
      <w:pPr>
        <w:numPr>
          <w:ilvl w:val="0"/>
          <w:numId w:val="1"/>
        </w:numPr>
        <w:tabs>
          <w:tab w:val="left" w:pos="5760"/>
        </w:tabs>
        <w:ind w:firstLine="560" w:firstLineChars="20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获得政府</w:t>
      </w:r>
      <w:r>
        <w:rPr>
          <w:rFonts w:hint="eastAsia" w:hAnsi="仿宋" w:eastAsia="仿宋"/>
          <w:sz w:val="28"/>
          <w:szCs w:val="28"/>
        </w:rPr>
        <w:t>表彰</w:t>
      </w:r>
      <w:r>
        <w:rPr>
          <w:rFonts w:hAnsi="仿宋" w:eastAsia="仿宋"/>
          <w:sz w:val="28"/>
          <w:szCs w:val="28"/>
        </w:rPr>
        <w:t>加分</w:t>
      </w:r>
      <w:r>
        <w:rPr>
          <w:rFonts w:hint="eastAsia" w:hAnsi="仿宋" w:eastAsia="仿宋"/>
          <w:sz w:val="28"/>
          <w:szCs w:val="28"/>
        </w:rPr>
        <w:t xml:space="preserve">   （  ）分</w:t>
      </w:r>
    </w:p>
    <w:tbl>
      <w:tblPr>
        <w:tblStyle w:val="7"/>
        <w:tblpPr w:leftFromText="180" w:rightFromText="180" w:vertAnchor="text" w:horzAnchor="page" w:tblpX="1759" w:tblpY="197"/>
        <w:tblOverlap w:val="never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9"/>
        <w:gridCol w:w="2114"/>
        <w:gridCol w:w="3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获得政府奖励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加分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四川省普通高等学校优秀毕业生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/>
    <w:p>
      <w:pPr>
        <w:adjustRightInd w:val="0"/>
        <w:snapToGrid w:val="0"/>
        <w:spacing w:line="52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专科在读期间获得市（州）及以上人民政府奖励，或毕业时获得“四川省普通高等学校优秀毕业生”荣誉等特别优秀的应届专科毕业生给予加</w:t>
      </w:r>
      <w:r>
        <w:rPr>
          <w:rFonts w:hAnsi="仿宋" w:eastAsia="仿宋"/>
          <w:sz w:val="28"/>
          <w:szCs w:val="28"/>
        </w:rPr>
        <w:t>4</w:t>
      </w:r>
      <w:r>
        <w:rPr>
          <w:rFonts w:hint="eastAsia" w:hAnsi="仿宋" w:eastAsia="仿宋"/>
          <w:sz w:val="28"/>
          <w:szCs w:val="28"/>
        </w:rPr>
        <w:t>分。</w:t>
      </w:r>
    </w:p>
    <w:p/>
    <w:p/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合计得分：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</w:p>
    <w:p>
      <w:pPr>
        <w:ind w:firstLine="6440" w:firstLineChars="2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辅导员签字：</w:t>
      </w: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二级学院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学工副院长</w:t>
      </w:r>
      <w:r>
        <w:rPr>
          <w:rFonts w:hint="eastAsia" w:ascii="仿宋" w:hAnsi="仿宋" w:eastAsia="仿宋" w:cs="仿宋"/>
          <w:sz w:val="28"/>
          <w:szCs w:val="28"/>
        </w:rPr>
        <w:t xml:space="preserve">签字：         </w:t>
      </w:r>
    </w:p>
    <w:p>
      <w:pPr>
        <w:ind w:firstLine="4480" w:firstLineChars="1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处长签字：</w:t>
      </w:r>
    </w:p>
    <w:p>
      <w:pPr>
        <w:ind w:firstLine="4480" w:firstLineChars="1600"/>
        <w:rPr>
          <w:rFonts w:ascii="仿宋" w:hAnsi="仿宋" w:eastAsia="仿宋" w:cs="仿宋"/>
          <w:sz w:val="28"/>
          <w:szCs w:val="28"/>
        </w:rPr>
      </w:pPr>
    </w:p>
    <w:p>
      <w:pPr>
        <w:ind w:firstLine="5600" w:firstLineChars="20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bookmarkStart w:id="0" w:name="_GoBack"/>
      <w:bookmarkEnd w:id="0"/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8446F"/>
    <w:multiLevelType w:val="singleLevel"/>
    <w:tmpl w:val="D848446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7C4204"/>
    <w:rsid w:val="003E7314"/>
    <w:rsid w:val="00402D6E"/>
    <w:rsid w:val="004C3E97"/>
    <w:rsid w:val="00DB4FF6"/>
    <w:rsid w:val="00E21BAB"/>
    <w:rsid w:val="00F57748"/>
    <w:rsid w:val="03B57582"/>
    <w:rsid w:val="1935405E"/>
    <w:rsid w:val="23C163FF"/>
    <w:rsid w:val="278B00FF"/>
    <w:rsid w:val="36E34A48"/>
    <w:rsid w:val="3DA07B78"/>
    <w:rsid w:val="40195762"/>
    <w:rsid w:val="41B62D67"/>
    <w:rsid w:val="4BAE2E11"/>
    <w:rsid w:val="5052036C"/>
    <w:rsid w:val="53947907"/>
    <w:rsid w:val="557C4204"/>
    <w:rsid w:val="56B03019"/>
    <w:rsid w:val="5EB16807"/>
    <w:rsid w:val="5F34062A"/>
    <w:rsid w:val="62FC5916"/>
    <w:rsid w:val="6EB12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14</TotalTime>
  <ScaleCrop>false</ScaleCrop>
  <LinksUpToDate>false</LinksUpToDate>
  <CharactersWithSpaces>770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2020-06-01T01:30:00Z</dcterms:created>
  <dc:creator>翰林雅士</dc:creator>
  <cp:lastModifiedBy>Administrator</cp:lastModifiedBy>
  <dcterms:modified xsi:type="dcterms:W3CDTF">2022-03-19T02:54:00Z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031FCA46CA1646AAB2567B2179888AC2</vt:lpwstr>
  </property>
</Properties>
</file>